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88" w:rsidRDefault="00BE7088" w:rsidP="005C0569">
      <w:pPr>
        <w:rPr>
          <w:b/>
        </w:rPr>
      </w:pPr>
      <w:r>
        <w:rPr>
          <w:b/>
        </w:rPr>
        <w:t xml:space="preserve">“Türkiye’ye Balkan </w:t>
      </w:r>
      <w:proofErr w:type="gramStart"/>
      <w:r>
        <w:rPr>
          <w:b/>
        </w:rPr>
        <w:t>rüzgarı</w:t>
      </w:r>
      <w:proofErr w:type="gramEnd"/>
      <w:r>
        <w:rPr>
          <w:b/>
        </w:rPr>
        <w:t>”</w:t>
      </w:r>
    </w:p>
    <w:p w:rsidR="00BB30E6" w:rsidRPr="005E2572" w:rsidRDefault="009F6D24" w:rsidP="005C0569">
      <w:pPr>
        <w:rPr>
          <w:b/>
        </w:rPr>
      </w:pPr>
      <w:r w:rsidRPr="005E2572">
        <w:rPr>
          <w:b/>
        </w:rPr>
        <w:t>“</w:t>
      </w:r>
      <w:r w:rsidR="00BB30E6" w:rsidRPr="005E2572">
        <w:rPr>
          <w:b/>
        </w:rPr>
        <w:t xml:space="preserve">Balkanlardan </w:t>
      </w:r>
      <w:r w:rsidR="00F24272" w:rsidRPr="005E2572">
        <w:rPr>
          <w:b/>
        </w:rPr>
        <w:t>Türkiye’ye 2020’de 6</w:t>
      </w:r>
      <w:r w:rsidR="005E5E52">
        <w:rPr>
          <w:b/>
        </w:rPr>
        <w:t xml:space="preserve"> </w:t>
      </w:r>
      <w:r w:rsidR="00F24272" w:rsidRPr="005E2572">
        <w:rPr>
          <w:b/>
        </w:rPr>
        <w:t>milyon, 2023’de ise 10</w:t>
      </w:r>
      <w:r w:rsidR="005E5E52">
        <w:rPr>
          <w:b/>
        </w:rPr>
        <w:t xml:space="preserve"> </w:t>
      </w:r>
      <w:r w:rsidR="00F24272" w:rsidRPr="005E2572">
        <w:rPr>
          <w:b/>
        </w:rPr>
        <w:t xml:space="preserve">milyondan </w:t>
      </w:r>
      <w:r w:rsidR="005E2572" w:rsidRPr="005E2572">
        <w:rPr>
          <w:b/>
        </w:rPr>
        <w:t>fazla turist</w:t>
      </w:r>
      <w:r w:rsidR="00BB30E6" w:rsidRPr="005E2572">
        <w:rPr>
          <w:b/>
        </w:rPr>
        <w:t xml:space="preserve"> gelecek”</w:t>
      </w:r>
    </w:p>
    <w:p w:rsidR="005E2572" w:rsidRDefault="005C0569" w:rsidP="005C0569">
      <w:r>
        <w:t xml:space="preserve">Makedonya Cumhuriyeti İstanbul Başkonsolosu Dr. Aktan </w:t>
      </w:r>
      <w:proofErr w:type="spellStart"/>
      <w:r>
        <w:t>Ago</w:t>
      </w:r>
      <w:proofErr w:type="spellEnd"/>
      <w:r>
        <w:t>, TÜMKİAD Genel Başkanı Nihat Tanrıkulu ve</w:t>
      </w:r>
      <w:r w:rsidR="000F464C">
        <w:t xml:space="preserve"> </w:t>
      </w:r>
      <w:r>
        <w:t>CESU Turizm Yöne</w:t>
      </w:r>
      <w:r w:rsidR="002D67CD">
        <w:t xml:space="preserve">tim Kurulu Başkanı Suat Korkmaz, </w:t>
      </w:r>
      <w:r w:rsidR="00484782">
        <w:t xml:space="preserve">hafta sonu </w:t>
      </w:r>
      <w:r w:rsidR="002B6715" w:rsidRPr="002B6715">
        <w:t xml:space="preserve">İstanbul’da </w:t>
      </w:r>
      <w:r w:rsidR="00484782">
        <w:t xml:space="preserve">bir araya gelerek </w:t>
      </w:r>
      <w:r>
        <w:t>ekonomi ve turizm ekseninde çeşitli</w:t>
      </w:r>
      <w:r w:rsidR="00F24272">
        <w:t xml:space="preserve"> </w:t>
      </w:r>
      <w:r w:rsidR="00BE7088">
        <w:t xml:space="preserve">açıklamalarda </w:t>
      </w:r>
      <w:r w:rsidR="000F464C">
        <w:t xml:space="preserve">bulundular. </w:t>
      </w:r>
      <w:r>
        <w:t xml:space="preserve">CESU Turizm Yönetim Kurulu Başkanı Suat Korkmaz </w:t>
      </w:r>
      <w:r w:rsidR="00A83740">
        <w:t>“</w:t>
      </w:r>
      <w:r w:rsidR="009F6D24">
        <w:t xml:space="preserve">Balkan ülkelerinden Türkiye’ye gelen turist sayısının </w:t>
      </w:r>
      <w:r w:rsidR="00F24272">
        <w:t>2020’de 6</w:t>
      </w:r>
      <w:r w:rsidR="009F6D24">
        <w:t xml:space="preserve"> milyon, 2023’de ise</w:t>
      </w:r>
      <w:r w:rsidR="000F464C">
        <w:t xml:space="preserve"> 10 milyonu aşmasını bekliyoruz” dedi.</w:t>
      </w:r>
      <w:r w:rsidR="005E2572" w:rsidRPr="005E2572">
        <w:t xml:space="preserve"> </w:t>
      </w:r>
    </w:p>
    <w:p w:rsidR="005E2572" w:rsidRPr="005E2572" w:rsidRDefault="005E2572" w:rsidP="005C0569">
      <w:pPr>
        <w:rPr>
          <w:b/>
        </w:rPr>
      </w:pPr>
      <w:r w:rsidRPr="005E2572">
        <w:rPr>
          <w:b/>
        </w:rPr>
        <w:t>“Türkiye</w:t>
      </w:r>
      <w:r w:rsidR="00805BC6">
        <w:rPr>
          <w:b/>
        </w:rPr>
        <w:t xml:space="preserve">’ye Balkan </w:t>
      </w:r>
      <w:proofErr w:type="gramStart"/>
      <w:r w:rsidR="00805BC6">
        <w:rPr>
          <w:b/>
        </w:rPr>
        <w:t>rüzgarı</w:t>
      </w:r>
      <w:proofErr w:type="gramEnd"/>
      <w:r w:rsidRPr="005E2572">
        <w:rPr>
          <w:b/>
        </w:rPr>
        <w:t>”</w:t>
      </w:r>
    </w:p>
    <w:p w:rsidR="005E2572" w:rsidRDefault="00484782" w:rsidP="005C0569">
      <w:r>
        <w:t xml:space="preserve">Araştırmalara ve resmi rakamlara göre </w:t>
      </w:r>
      <w:r w:rsidR="00BE7088" w:rsidRPr="00BE7088">
        <w:t>2019’da ülkemize gelen toplam turist sayısı geçen yılın aynı dönemine göre yüzde 14,7 arttı.</w:t>
      </w:r>
      <w:r w:rsidR="00866CA2">
        <w:t xml:space="preserve"> Balkan ülkelerinden gelen turist sayısı ise her yıl artmaya devam ediyor. </w:t>
      </w:r>
      <w:r>
        <w:t>Ö</w:t>
      </w:r>
      <w:r w:rsidR="003E43D0">
        <w:t xml:space="preserve">rneğin </w:t>
      </w:r>
      <w:r w:rsidR="003E43D0" w:rsidRPr="003E43D0">
        <w:t>Bulgaristan</w:t>
      </w:r>
      <w:r w:rsidR="003E43D0">
        <w:t xml:space="preserve">’dan 2016’da </w:t>
      </w:r>
      <w:r w:rsidR="003E43D0" w:rsidRPr="003E43D0">
        <w:t>1.690.766</w:t>
      </w:r>
      <w:r w:rsidR="000C4AA9">
        <w:t xml:space="preserve">, 2017’de 1.852.867, 2018’de </w:t>
      </w:r>
      <w:r w:rsidR="003E43D0" w:rsidRPr="003E43D0">
        <w:t>2.386.885</w:t>
      </w:r>
      <w:r w:rsidR="000C4AA9">
        <w:t xml:space="preserve">, </w:t>
      </w:r>
      <w:r w:rsidR="005E2572" w:rsidRPr="005E2572">
        <w:t>Makedonya’dan 2016 yı</w:t>
      </w:r>
      <w:r w:rsidR="0092269F">
        <w:t xml:space="preserve">lında 146.000, 2017’de 172.851, </w:t>
      </w:r>
      <w:r w:rsidR="005E2572" w:rsidRPr="005E2572">
        <w:t xml:space="preserve">2018’de 209,519, Kosova’dan 2016’da 100.022, 2017’de 116,049, 2018’de 139.500, Arnavutluk’tan 2016’da 83.029, 2017’de 103.593, 2018’de 125.935 kişi </w:t>
      </w:r>
      <w:r w:rsidR="003E43D0">
        <w:t xml:space="preserve">Türkiye’yi </w:t>
      </w:r>
      <w:r w:rsidR="005E2572" w:rsidRPr="005E2572">
        <w:t xml:space="preserve">ziyaret etti. </w:t>
      </w:r>
      <w:r w:rsidR="003E43D0">
        <w:t>T</w:t>
      </w:r>
      <w:r w:rsidR="000C4AA9">
        <w:t>üm balkan ülkeleri turist toplamı</w:t>
      </w:r>
      <w:r w:rsidR="003E43D0">
        <w:t xml:space="preserve"> </w:t>
      </w:r>
      <w:r w:rsidR="000C4AA9">
        <w:t xml:space="preserve">ise </w:t>
      </w:r>
      <w:r w:rsidR="003E43D0">
        <w:t xml:space="preserve">2016’da </w:t>
      </w:r>
      <w:r w:rsidR="0092269F" w:rsidRPr="0092269F">
        <w:t>2.808.899</w:t>
      </w:r>
      <w:r w:rsidR="003E43D0">
        <w:t xml:space="preserve">, 2017’de 3.220.908, 2018’de </w:t>
      </w:r>
      <w:r w:rsidR="0092269F" w:rsidRPr="0092269F">
        <w:t>4.306.151</w:t>
      </w:r>
      <w:r w:rsidR="003E43D0">
        <w:t xml:space="preserve"> kişi. </w:t>
      </w:r>
      <w:r w:rsidR="003E43D0" w:rsidRPr="003E43D0">
        <w:t>2019 yılında Balkan ülkelerinden İstanbul’a seyahat edenlerin 2018 yılı aynı dönemine göre artış oranları ise şöyle; Hırvatistan yüzde 30, Bosna Hersek 15,5, Bulgaristan 18,6, Makedonya yüzde 8,9, Romanya yüzde 12,2, Sloveny</w:t>
      </w:r>
      <w:r w:rsidR="00805BC6">
        <w:t xml:space="preserve">a yüzde 15,1, Arnavutluk 4,6, </w:t>
      </w:r>
      <w:r w:rsidR="003E43D0" w:rsidRPr="003E43D0">
        <w:t xml:space="preserve">Yunanistan yüzde 21,1. </w:t>
      </w:r>
      <w:r>
        <w:t>Tüm Balkan ülkelerinden Türkiye’ye gelen turist sayısındaki</w:t>
      </w:r>
      <w:r w:rsidR="005E2572" w:rsidRPr="005E2572">
        <w:t xml:space="preserve"> yı</w:t>
      </w:r>
      <w:r>
        <w:t>l</w:t>
      </w:r>
      <w:r w:rsidR="002B6715">
        <w:t>l</w:t>
      </w:r>
      <w:r>
        <w:t>ık</w:t>
      </w:r>
      <w:r w:rsidR="002B6715">
        <w:t xml:space="preserve"> </w:t>
      </w:r>
      <w:r>
        <w:t xml:space="preserve">ortalama </w:t>
      </w:r>
      <w:r w:rsidR="005E2572" w:rsidRPr="005E2572">
        <w:t>%</w:t>
      </w:r>
      <w:r w:rsidR="0092269F">
        <w:t>15-</w:t>
      </w:r>
      <w:r w:rsidR="00BE7088">
        <w:t>25</w:t>
      </w:r>
      <w:r w:rsidR="002D67CD">
        <w:t xml:space="preserve"> </w:t>
      </w:r>
      <w:proofErr w:type="gramStart"/>
      <w:r>
        <w:t>aralığındaki</w:t>
      </w:r>
      <w:proofErr w:type="gramEnd"/>
      <w:r>
        <w:t xml:space="preserve"> </w:t>
      </w:r>
      <w:r w:rsidR="002D67CD">
        <w:t>büyüme</w:t>
      </w:r>
      <w:r>
        <w:t xml:space="preserve"> ile rakamların </w:t>
      </w:r>
      <w:r w:rsidR="005E2572" w:rsidRPr="005E2572">
        <w:t xml:space="preserve">2019’da 5 milyon, 2020’de 6 milyon ve 2023’de 10 milyonu </w:t>
      </w:r>
      <w:r w:rsidR="002D67CD">
        <w:t>aşması bekleniyor</w:t>
      </w:r>
      <w:r w:rsidR="000C4AA9">
        <w:t xml:space="preserve">. </w:t>
      </w:r>
    </w:p>
    <w:p w:rsidR="00805BC6" w:rsidRPr="002D67CD" w:rsidRDefault="00805BC6" w:rsidP="00805BC6">
      <w:pPr>
        <w:rPr>
          <w:b/>
        </w:rPr>
      </w:pPr>
      <w:r w:rsidRPr="00805BC6">
        <w:rPr>
          <w:b/>
        </w:rPr>
        <w:t>BALKANLARDAN ÜLKEMİZE GELEN YABANCI ZİYARETÇİLER KARŞILAŞTIRILMASI</w:t>
      </w:r>
      <w:r w:rsidRPr="00805BC6">
        <w:rPr>
          <w:b/>
        </w:rPr>
        <w:tab/>
      </w:r>
      <w:r w:rsidRPr="00805BC6">
        <w:rPr>
          <w:b/>
        </w:rPr>
        <w:tab/>
      </w:r>
      <w:r w:rsidRPr="002D67CD">
        <w:rPr>
          <w:b/>
        </w:rPr>
        <w:t xml:space="preserve"> 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26"/>
        <w:gridCol w:w="1425"/>
        <w:gridCol w:w="1559"/>
      </w:tblGrid>
      <w:tr w:rsidR="005E5E52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E52" w:rsidRPr="004314BB" w:rsidRDefault="005E5E52" w:rsidP="00F31CD0">
            <w:pPr>
              <w:rPr>
                <w:b/>
                <w:bCs/>
              </w:rPr>
            </w:pPr>
            <w:r w:rsidRPr="002D67CD">
              <w:rPr>
                <w:b/>
              </w:rPr>
              <w:t>MİLLİYET</w:t>
            </w:r>
            <w:r w:rsidRPr="002D67CD">
              <w:rPr>
                <w:b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E52" w:rsidRDefault="005E5E52" w:rsidP="005E5E52">
            <w:pPr>
              <w:jc w:val="center"/>
            </w:pPr>
            <w:r w:rsidRPr="002D67CD"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E52" w:rsidRDefault="005E5E52" w:rsidP="005E5E52">
            <w:pPr>
              <w:jc w:val="center"/>
            </w:pPr>
            <w:r w:rsidRPr="002D67CD">
              <w:rPr>
                <w:b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5E52" w:rsidRDefault="005E5E52" w:rsidP="005E5E52">
            <w:pPr>
              <w:jc w:val="center"/>
            </w:pPr>
            <w:r w:rsidRPr="002D67CD">
              <w:rPr>
                <w:b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E52" w:rsidRDefault="005E5E52" w:rsidP="005E5E52">
            <w:pPr>
              <w:jc w:val="center"/>
            </w:pPr>
            <w:r w:rsidRPr="002D67CD">
              <w:rPr>
                <w:b/>
              </w:rPr>
              <w:t>2017/2016(%)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5E52" w:rsidRDefault="005E5E52" w:rsidP="005E5E52">
            <w:pPr>
              <w:jc w:val="center"/>
            </w:pPr>
            <w:r w:rsidRPr="002D67CD">
              <w:rPr>
                <w:b/>
              </w:rPr>
              <w:t>2018/2017(%)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Arnavutluk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83.</w:t>
            </w:r>
            <w:r w:rsidRPr="004314BB">
              <w:t>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103.</w:t>
            </w:r>
            <w:r w:rsidRPr="004314BB">
              <w:t>593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125.</w:t>
            </w:r>
            <w:r w:rsidRPr="00BA3434">
              <w:t>935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 </w:t>
            </w:r>
            <w:r w:rsidRPr="00BA3434">
              <w:t>24,77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</w:t>
            </w:r>
            <w:r w:rsidRPr="004314BB">
              <w:t>21,57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Bosna Hersek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66.</w:t>
            </w:r>
            <w:r w:rsidRPr="004314BB"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90.</w:t>
            </w:r>
            <w:r w:rsidRPr="004314BB">
              <w:t>378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120.</w:t>
            </w:r>
            <w:r w:rsidRPr="00BA3434">
              <w:t>480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 </w:t>
            </w:r>
            <w:r w:rsidRPr="00BA3434">
              <w:t>36,57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</w:t>
            </w:r>
            <w:r w:rsidRPr="004314BB">
              <w:t>33,31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Bulgaristan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1.690.</w:t>
            </w:r>
            <w:r w:rsidRPr="004314BB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1.852.</w:t>
            </w:r>
            <w:r w:rsidRPr="004314BB">
              <w:t>867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>2.</w:t>
            </w:r>
            <w:r w:rsidRPr="00BA3434">
              <w:t>386</w:t>
            </w:r>
            <w:r>
              <w:t>.</w:t>
            </w:r>
            <w:r w:rsidRPr="00BA3434">
              <w:t>885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 </w:t>
            </w:r>
            <w:r w:rsidRPr="00BA3434">
              <w:t>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</w:t>
            </w:r>
            <w:r w:rsidRPr="004314BB">
              <w:t>28,82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Estonya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35.</w:t>
            </w:r>
            <w:r w:rsidRPr="004314BB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48.</w:t>
            </w:r>
            <w:r w:rsidRPr="004314BB">
              <w:t>024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61.</w:t>
            </w:r>
            <w:r w:rsidRPr="00BA3434">
              <w:t>707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 </w:t>
            </w:r>
            <w:r w:rsidRPr="00BA3434">
              <w:t>35,09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</w:t>
            </w:r>
            <w:r w:rsidRPr="004314BB">
              <w:t>28,49</w:t>
            </w:r>
          </w:p>
        </w:tc>
      </w:tr>
      <w:tr w:rsidR="00805BC6" w:rsidRPr="00BA3434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Güney Kıbrıs Rum Kesimi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10.</w:t>
            </w:r>
            <w:r w:rsidRPr="004314BB"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10.</w:t>
            </w:r>
            <w:r w:rsidRPr="004314BB">
              <w:t>201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10.</w:t>
            </w:r>
            <w:r w:rsidRPr="00BA3434">
              <w:t>516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 </w:t>
            </w:r>
            <w:r w:rsidRPr="00BA3434">
              <w:t>-1,36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3,09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Hırvatistan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21.</w:t>
            </w:r>
            <w:r w:rsidRPr="004314BB"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23.</w:t>
            </w:r>
            <w:r w:rsidRPr="004314BB">
              <w:t>630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44.</w:t>
            </w:r>
            <w:r w:rsidRPr="00BA3434">
              <w:t>188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 </w:t>
            </w:r>
            <w:r w:rsidRPr="00BA3434">
              <w:t>10,70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87,00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Karadağ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16.</w:t>
            </w:r>
            <w:r w:rsidRPr="004314BB"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19.</w:t>
            </w:r>
            <w:r w:rsidRPr="004314BB">
              <w:t>555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24.</w:t>
            </w:r>
            <w:r w:rsidRPr="00BA3434">
              <w:t>183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 w:rsidRPr="00BA3434">
              <w:t>17,03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23,67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Kosova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100.</w:t>
            </w:r>
            <w:r w:rsidRPr="004314BB"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116.</w:t>
            </w:r>
            <w:r w:rsidRPr="004314BB">
              <w:t>049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139.</w:t>
            </w:r>
            <w:r w:rsidRPr="00BA3434"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 w:rsidRPr="00BA3434">
              <w:t>16,02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20,21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Letonya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34.</w:t>
            </w:r>
            <w:r w:rsidRPr="004314BB"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46.</w:t>
            </w:r>
            <w:r w:rsidRPr="004314BB">
              <w:t>536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65.</w:t>
            </w:r>
            <w:r w:rsidRPr="00BA3434">
              <w:t>868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33,49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41,54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Litvanya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109.</w:t>
            </w:r>
            <w:r w:rsidRPr="004314BB"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134.</w:t>
            </w:r>
            <w:r w:rsidRPr="004314BB">
              <w:t>264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199.</w:t>
            </w:r>
            <w:r w:rsidRPr="00BA3434">
              <w:t>371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22,34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48,49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Makedonya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>146.</w:t>
            </w:r>
            <w:r w:rsidRPr="004314BB"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172.</w:t>
            </w:r>
            <w:r w:rsidRPr="004314BB">
              <w:t>851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209.</w:t>
            </w:r>
            <w:r w:rsidRPr="00BA3434">
              <w:t>519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18,38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21,21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lastRenderedPageBreak/>
              <w:t>Malta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5.</w:t>
            </w:r>
            <w:r w:rsidRPr="004314BB"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5.</w:t>
            </w:r>
            <w:r w:rsidRPr="004314BB">
              <w:t>523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8.</w:t>
            </w:r>
            <w:r w:rsidRPr="00BA3434">
              <w:t>287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-5,57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50,05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Romanya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357.</w:t>
            </w:r>
            <w:r w:rsidRPr="004314BB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423.</w:t>
            </w:r>
            <w:r w:rsidRPr="004314BB">
              <w:t>868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641.</w:t>
            </w:r>
            <w:r w:rsidRPr="00BA3434">
              <w:t>484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18,57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51,34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Sırbistan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110.</w:t>
            </w:r>
            <w:r w:rsidRPr="004314BB">
              <w:t>5</w:t>
            </w:r>
            <w:bookmarkStart w:id="0" w:name="_GoBack"/>
            <w:bookmarkEnd w:id="0"/>
            <w:r w:rsidRPr="004314BB"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146.</w:t>
            </w:r>
            <w:r w:rsidRPr="004314BB">
              <w:t>852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225.</w:t>
            </w:r>
            <w:r w:rsidRPr="00BA3434">
              <w:t>312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32,78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53,43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Slovenya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18.</w:t>
            </w:r>
            <w:r w:rsidRPr="004314BB"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25.</w:t>
            </w:r>
            <w:r w:rsidRPr="004314BB">
              <w:t>105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40.</w:t>
            </w:r>
            <w:r w:rsidRPr="00BA3434">
              <w:t>716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33,09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62,18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5E5E52" w:rsidRDefault="00805BC6" w:rsidP="00F31CD0">
            <w:pPr>
              <w:rPr>
                <w:bCs/>
              </w:rPr>
            </w:pPr>
            <w:r w:rsidRPr="005E5E52">
              <w:rPr>
                <w:bCs/>
              </w:rPr>
              <w:t>DİĞER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1.</w:t>
            </w:r>
            <w:r w:rsidRPr="004314BB"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1.</w:t>
            </w:r>
            <w:r w:rsidRPr="004314BB">
              <w:t>612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5BC6" w:rsidRPr="00BA3434" w:rsidRDefault="00805BC6" w:rsidP="005E5E52">
            <w:pPr>
              <w:jc w:val="right"/>
            </w:pPr>
            <w:r>
              <w:t xml:space="preserve"> 2.</w:t>
            </w:r>
            <w:r w:rsidRPr="00BA3434"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 w:rsidRPr="004314BB">
              <w:t>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right"/>
            </w:pPr>
            <w:r>
              <w:t xml:space="preserve">      </w:t>
            </w:r>
            <w:r w:rsidRPr="004314BB">
              <w:t>36,48</w:t>
            </w:r>
          </w:p>
        </w:tc>
      </w:tr>
      <w:tr w:rsidR="00805BC6" w:rsidRPr="004314BB" w:rsidTr="005E5E52">
        <w:trPr>
          <w:trHeight w:val="319"/>
          <w:jc w:val="center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F31CD0">
            <w:pPr>
              <w:rPr>
                <w:b/>
                <w:bCs/>
              </w:rPr>
            </w:pPr>
            <w:r w:rsidRPr="004314BB">
              <w:rPr>
                <w:b/>
                <w:bCs/>
              </w:rPr>
              <w:t xml:space="preserve">TOPLAM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2.808.</w:t>
            </w:r>
            <w:r w:rsidRPr="004314BB">
              <w:rPr>
                <w:b/>
                <w:bCs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3.220.</w:t>
            </w:r>
            <w:r w:rsidRPr="004314BB">
              <w:rPr>
                <w:b/>
                <w:bCs/>
              </w:rPr>
              <w:t>908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BA3434" w:rsidRDefault="00805BC6" w:rsidP="005E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4.306.</w:t>
            </w:r>
            <w:r w:rsidRPr="00BA3434">
              <w:rPr>
                <w:b/>
                <w:bCs/>
              </w:rPr>
              <w:t>151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center"/>
              <w:rPr>
                <w:b/>
                <w:bCs/>
              </w:rPr>
            </w:pPr>
            <w:r w:rsidRPr="004314BB">
              <w:rPr>
                <w:b/>
                <w:bCs/>
              </w:rPr>
              <w:t>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BC6" w:rsidRPr="004314BB" w:rsidRDefault="00805BC6" w:rsidP="005E5E52">
            <w:pPr>
              <w:jc w:val="center"/>
              <w:rPr>
                <w:b/>
                <w:bCs/>
              </w:rPr>
            </w:pPr>
            <w:r w:rsidRPr="004314BB">
              <w:rPr>
                <w:b/>
                <w:bCs/>
              </w:rPr>
              <w:t>33,69</w:t>
            </w:r>
          </w:p>
        </w:tc>
      </w:tr>
    </w:tbl>
    <w:p w:rsidR="00805BC6" w:rsidRDefault="00805BC6" w:rsidP="005C0569"/>
    <w:p w:rsidR="00866CA2" w:rsidRDefault="002D67CD" w:rsidP="005C0569">
      <w:r w:rsidRPr="002D67CD">
        <w:t xml:space="preserve">CESU Turizm Yönetim Kurulu Başkanı Suat Korkmaz </w:t>
      </w:r>
      <w:r w:rsidR="00866CA2" w:rsidRPr="00866CA2">
        <w:t>“Balkanlarda gelişime açık, büyük bir potansiyel görüyoruz. Makedonya, Kosova, Bosna-Hersek, Bulgaristan gibi ülkelerden Türkiye’ye gelenlerin sayısını artırmak istiyoruz. Kültür ve Turizm Bakanlığı bünyesinde kurulan Türkiye Turizm Tanıtım ve Geliştirme A</w:t>
      </w:r>
      <w:r w:rsidR="007B487C">
        <w:t>jansı’nın katkıları önemli</w:t>
      </w:r>
      <w:r w:rsidR="00866CA2" w:rsidRPr="00866CA2">
        <w:t xml:space="preserve">. </w:t>
      </w:r>
      <w:r>
        <w:t xml:space="preserve">Balkanlara yoğunlaşarak </w:t>
      </w:r>
      <w:r w:rsidR="00866CA2" w:rsidRPr="00866CA2">
        <w:t xml:space="preserve">2023 yılında </w:t>
      </w:r>
      <w:r>
        <w:t xml:space="preserve">ülkemizde toplamda </w:t>
      </w:r>
      <w:r w:rsidR="00866CA2" w:rsidRPr="00866CA2">
        <w:t>75 milyon turist ağırlayabiliriz</w:t>
      </w:r>
      <w:r>
        <w:t>. K</w:t>
      </w:r>
      <w:r w:rsidR="00866CA2" w:rsidRPr="00866CA2">
        <w:t xml:space="preserve">olay, ucuz, konforlu ulaşım, sağlıklı iletişim ve yakın ekonomik işbirlikleri konusunda çalışmalarımız </w:t>
      </w:r>
      <w:r w:rsidR="002B6715">
        <w:t>var, önümüzdeki günlerde bunları da duyuracağız</w:t>
      </w:r>
      <w:r w:rsidR="00866CA2" w:rsidRPr="00866CA2">
        <w:t>” dedi.</w:t>
      </w:r>
    </w:p>
    <w:p w:rsidR="00D92148" w:rsidRDefault="00D92148" w:rsidP="005C0569">
      <w:r w:rsidRPr="00D92148">
        <w:t>Makedonya</w:t>
      </w:r>
      <w:r>
        <w:t xml:space="preserve"> İstanbul Başkonsolosu Aktan </w:t>
      </w:r>
      <w:proofErr w:type="spellStart"/>
      <w:r>
        <w:t>Ago</w:t>
      </w:r>
      <w:proofErr w:type="spellEnd"/>
      <w:r w:rsidRPr="00D92148">
        <w:t>, Türkiye'nin Kuzey Makedonya açısından her anlamda öneml</w:t>
      </w:r>
      <w:r>
        <w:t>i bir ülke olduğuna vurgu yaparak “Kuzey Makedonya’</w:t>
      </w:r>
      <w:r w:rsidR="009434DD">
        <w:t>yı ziyaret eden turistler arasında Türkler ilk sıralarda. Ekonomik ve kültürel ilişkilerimiz her geçen yıl artarak büyüyor. Gelecekte çok daha fazlasını yaratmak için çalışmaya devam ediyoruz” dedi.</w:t>
      </w:r>
    </w:p>
    <w:p w:rsidR="005E2572" w:rsidRDefault="00805BC6" w:rsidP="005C0569">
      <w:r w:rsidRPr="00805BC6">
        <w:t xml:space="preserve">TÜMKİAD Genel Başkanı Nihat Tanrıkulu </w:t>
      </w:r>
      <w:r w:rsidR="009434DD">
        <w:t xml:space="preserve">ise “Barış Pınarı” operasyonu sayesinde yine </w:t>
      </w:r>
      <w:r w:rsidR="000F4B5B" w:rsidRPr="000F4B5B">
        <w:t xml:space="preserve">gördük ki </w:t>
      </w:r>
      <w:r w:rsidR="00BE7088">
        <w:t xml:space="preserve">her türlü konuda </w:t>
      </w:r>
      <w:r w:rsidR="000F4B5B" w:rsidRPr="000F4B5B">
        <w:t xml:space="preserve">en iyi alternatiflerimiz Balkanlardır, Türk dünyasıdır. </w:t>
      </w:r>
      <w:r w:rsidR="00184972" w:rsidRPr="00184972">
        <w:t>Yüzlerce yıla dayanan tarihi, kültürel bağlarımızı, kardeşliği</w:t>
      </w:r>
      <w:r w:rsidR="00184972">
        <w:t xml:space="preserve">mizi pekiştirmeliyiz. </w:t>
      </w:r>
      <w:r w:rsidR="009434DD">
        <w:t xml:space="preserve">Ticareti ve turizmi geliştirmek amacıyla </w:t>
      </w:r>
      <w:r w:rsidR="00BE7088">
        <w:t xml:space="preserve">biz işadamları </w:t>
      </w:r>
      <w:r w:rsidR="009434DD">
        <w:t xml:space="preserve">önümüzdeki yıllarda </w:t>
      </w:r>
      <w:r w:rsidR="00BE7088">
        <w:t>daha çok gayret göstereceğiz</w:t>
      </w:r>
      <w:r w:rsidR="009434DD">
        <w:t xml:space="preserve">. </w:t>
      </w:r>
      <w:r w:rsidR="00F12B27">
        <w:t>Ne tür işbirlikleri yapabiliriz diye çeşitli projeler araştırıyoruz</w:t>
      </w:r>
      <w:r w:rsidR="009434DD">
        <w:t xml:space="preserve"> </w:t>
      </w:r>
      <w:r w:rsidR="00BE7088">
        <w:t>” dedi.</w:t>
      </w:r>
    </w:p>
    <w:p w:rsidR="007B487C" w:rsidRDefault="005C0569" w:rsidP="00731744">
      <w:pPr>
        <w:rPr>
          <w:b/>
        </w:rPr>
      </w:pPr>
      <w:r w:rsidRPr="00866CA2">
        <w:rPr>
          <w:b/>
        </w:rPr>
        <w:t xml:space="preserve">Bilgi ve iletişim: </w:t>
      </w:r>
      <w:r w:rsidR="002B6715">
        <w:rPr>
          <w:b/>
        </w:rPr>
        <w:t xml:space="preserve"> </w:t>
      </w:r>
    </w:p>
    <w:p w:rsidR="007B487C" w:rsidRDefault="007B487C" w:rsidP="00731744">
      <w:pPr>
        <w:rPr>
          <w:b/>
        </w:rPr>
      </w:pPr>
      <w:r>
        <w:rPr>
          <w:b/>
        </w:rPr>
        <w:t xml:space="preserve">MRCN Medya ve Tanıtım Ajansı </w:t>
      </w:r>
    </w:p>
    <w:p w:rsidR="007B487C" w:rsidRDefault="005C0569" w:rsidP="00731744">
      <w:pPr>
        <w:rPr>
          <w:b/>
        </w:rPr>
      </w:pPr>
      <w:r w:rsidRPr="00866CA2">
        <w:rPr>
          <w:b/>
        </w:rPr>
        <w:t xml:space="preserve">Tuğrul Mercan 05448373435 </w:t>
      </w:r>
    </w:p>
    <w:p w:rsidR="001B412F" w:rsidRPr="00866CA2" w:rsidRDefault="005C0569" w:rsidP="00731744">
      <w:pPr>
        <w:rPr>
          <w:b/>
        </w:rPr>
      </w:pPr>
      <w:r w:rsidRPr="00866CA2">
        <w:rPr>
          <w:b/>
        </w:rPr>
        <w:t>tugrulmercan@gmail.com</w:t>
      </w:r>
      <w:r w:rsidR="00731744">
        <w:t xml:space="preserve"> </w:t>
      </w:r>
    </w:p>
    <w:sectPr w:rsidR="001B412F" w:rsidRPr="0086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A8"/>
    <w:rsid w:val="000C4AA9"/>
    <w:rsid w:val="000F464C"/>
    <w:rsid w:val="000F4B5B"/>
    <w:rsid w:val="00184972"/>
    <w:rsid w:val="001B412F"/>
    <w:rsid w:val="002B6715"/>
    <w:rsid w:val="002D67CD"/>
    <w:rsid w:val="002E4A5B"/>
    <w:rsid w:val="002E5716"/>
    <w:rsid w:val="003E3933"/>
    <w:rsid w:val="003E43D0"/>
    <w:rsid w:val="004314BB"/>
    <w:rsid w:val="00484782"/>
    <w:rsid w:val="005C0569"/>
    <w:rsid w:val="005E2572"/>
    <w:rsid w:val="005E5E52"/>
    <w:rsid w:val="006A3A2B"/>
    <w:rsid w:val="006A4EA8"/>
    <w:rsid w:val="00731744"/>
    <w:rsid w:val="007A2A1F"/>
    <w:rsid w:val="007B487C"/>
    <w:rsid w:val="00805BC6"/>
    <w:rsid w:val="0083501A"/>
    <w:rsid w:val="008449B9"/>
    <w:rsid w:val="00866CA2"/>
    <w:rsid w:val="008F7484"/>
    <w:rsid w:val="0092269F"/>
    <w:rsid w:val="009434DD"/>
    <w:rsid w:val="009F6D24"/>
    <w:rsid w:val="00A30F20"/>
    <w:rsid w:val="00A7535B"/>
    <w:rsid w:val="00A83740"/>
    <w:rsid w:val="00B26459"/>
    <w:rsid w:val="00BA3434"/>
    <w:rsid w:val="00BB30E6"/>
    <w:rsid w:val="00BC23B8"/>
    <w:rsid w:val="00BE7088"/>
    <w:rsid w:val="00D92148"/>
    <w:rsid w:val="00E302BB"/>
    <w:rsid w:val="00EE677B"/>
    <w:rsid w:val="00F03E25"/>
    <w:rsid w:val="00F12B27"/>
    <w:rsid w:val="00F24272"/>
    <w:rsid w:val="00F44FC3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C4D3"/>
  <w15:docId w15:val="{EC0E91CA-1079-4E90-8135-2B034DD7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5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Burak CELEP</cp:lastModifiedBy>
  <cp:revision>13</cp:revision>
  <dcterms:created xsi:type="dcterms:W3CDTF">2019-10-20T11:55:00Z</dcterms:created>
  <dcterms:modified xsi:type="dcterms:W3CDTF">2019-10-21T06:50:00Z</dcterms:modified>
</cp:coreProperties>
</file>