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Fujifilm Türkiye'yi üs yapt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Fujifim, 1 Haziran 2012'den itibaren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istribütör firmas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ını satın alarak Fujifilm Dış Ticaret A.Ş. adı altında 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ürkiye’deki faaliyetlerini 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ğ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rudan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yürüt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ecek.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üyüme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de 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ll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hedeflerini tutturan ve Türkiye pazar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ında aktif olduğu sekt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örlerde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pazar pay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art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ran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Fujifilm 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ürkiye, bölge ülkeleri üzerinde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ki etkisin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i de art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rd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. Orta Asya ülkeleri de dahil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10 ayrı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ülkenin yönetimi, Fujifilm Türkiye üzerinden gerçekle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ştiriliyor.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Fujifilm Türkiye Ba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şkanı Jun Higuchi,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yeni yap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lanma ile birlikte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mevcut 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örevine ek olarak Fujifilm Orta Do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ğu Başkanlığı 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örevine de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yürütecek.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Jun Higuchi, Fujifilm 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ürkiye Ba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şkanlığı 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örevi ile Fujifilm Orta Do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ğu Başkanlığı 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örevi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ne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ayn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 anda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devam edecek.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Yeni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yap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lan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atamayla, Jun Higuchi, Türkiye ile Kuzey Afrika ve Orta Do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ğu’ya bağlı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ülkeler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in de yönetimini üstlenecek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. Medikal ve Grafik Sistemler Genel Müdürü Cengiz Metin ise Fujifilm Türkiye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'nin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tüm 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ş kolları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ndan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ve kurumsal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ölümlerinden sorumlu Genel Müdürü olarak görevin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e devam edecek.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Türkiye’de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faaliyet gösterdikleri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pek çok sektörde pazar lideri olduklar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ını belirten Genel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üdür Cengiz Metin, 3 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ıl 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çinde gösterdikleri performans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ın bu kararda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önemli ölçüde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etkili olduğunu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bel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irtti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. Cengiz Metin, “Fujifilm, 2014'de Türkiye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'deki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cirosunu 80 milyon Euro olarak gerçekle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ştirdi.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Türkiye'de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edikal sistemler, grafik sistemler, endüstriyel ürünler, dijital kamera ve foto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ğraf baskı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ürünleri alan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lar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nda pazar lideriyiz.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Haziran 2012’den bu yana yıllık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üyüme hedeflerimizi tutturarak Türkiye pazar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ındaki lider pozisyonumuzu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daha da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güçlendirdik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u performans, Fujifilm’in merkezi 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önetim modeli içinde Türkiye’nin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etkili bir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yönetim üssü olmas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ını sağladı. Bu da bizler 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çin gurur verici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” dedi.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